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47" w:rsidRPr="00191758" w:rsidRDefault="00921147" w:rsidP="00921147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91758">
        <w:rPr>
          <w:rFonts w:ascii="仿宋" w:eastAsia="仿宋" w:hAnsi="仿宋" w:cs="宋体" w:hint="eastAsia"/>
          <w:kern w:val="0"/>
          <w:sz w:val="28"/>
          <w:szCs w:val="28"/>
        </w:rPr>
        <w:t>附件1：</w:t>
      </w:r>
    </w:p>
    <w:p w:rsidR="00921147" w:rsidRPr="00191758" w:rsidRDefault="00921147" w:rsidP="00921147">
      <w:pPr>
        <w:jc w:val="center"/>
        <w:rPr>
          <w:rFonts w:ascii="方正大标宋简体" w:eastAsia="方正大标宋简体"/>
          <w:sz w:val="36"/>
          <w:szCs w:val="36"/>
        </w:rPr>
      </w:pPr>
      <w:r w:rsidRPr="00191758">
        <w:rPr>
          <w:rFonts w:ascii="方正大标宋简体" w:eastAsia="方正大标宋简体" w:hint="eastAsia"/>
          <w:sz w:val="36"/>
          <w:szCs w:val="36"/>
        </w:rPr>
        <w:t>江苏省终身教育研究会课题立项指南</w:t>
      </w:r>
    </w:p>
    <w:p w:rsidR="00921147" w:rsidRPr="00191758" w:rsidRDefault="00921147" w:rsidP="00921147">
      <w:pPr>
        <w:spacing w:afterLines="50"/>
        <w:jc w:val="center"/>
        <w:rPr>
          <w:rFonts w:ascii="仿宋" w:eastAsia="仿宋" w:hAnsi="仿宋"/>
          <w:sz w:val="30"/>
          <w:szCs w:val="30"/>
        </w:rPr>
      </w:pPr>
      <w:r w:rsidRPr="00191758">
        <w:rPr>
          <w:rFonts w:ascii="仿宋" w:eastAsia="仿宋" w:hAnsi="仿宋" w:hint="eastAsia"/>
          <w:sz w:val="30"/>
          <w:szCs w:val="30"/>
        </w:rPr>
        <w:t>（2017-2020年）</w:t>
      </w:r>
    </w:p>
    <w:p w:rsidR="00921147" w:rsidRPr="00867874" w:rsidRDefault="00921147" w:rsidP="00921147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867874">
        <w:rPr>
          <w:rFonts w:ascii="黑体" w:eastAsia="黑体" w:hAnsi="黑体" w:hint="eastAsia"/>
          <w:sz w:val="28"/>
          <w:szCs w:val="28"/>
        </w:rPr>
        <w:t>一、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1. 学习型社会特征研究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2. 终身学习需求研究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3. 终身学习形态研究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4. 终身学习分类研究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5. 终身学习素质研究</w:t>
      </w:r>
    </w:p>
    <w:p w:rsidR="00921147" w:rsidRPr="00867874" w:rsidRDefault="00921147" w:rsidP="00921147">
      <w:pPr>
        <w:spacing w:beforeLines="50"/>
        <w:ind w:firstLineChars="200" w:firstLine="560"/>
        <w:rPr>
          <w:rFonts w:ascii="黑体" w:eastAsia="黑体" w:hAnsi="黑体"/>
          <w:sz w:val="28"/>
          <w:szCs w:val="28"/>
        </w:rPr>
      </w:pPr>
      <w:r w:rsidRPr="00867874">
        <w:rPr>
          <w:rFonts w:ascii="黑体" w:eastAsia="黑体" w:hAnsi="黑体" w:hint="eastAsia"/>
          <w:sz w:val="28"/>
          <w:szCs w:val="28"/>
        </w:rPr>
        <w:t>二、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6. 终身学习居民个人账户研究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7. 终身学习学分累计方法研究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8. 终身学习成果转化机制研究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9. 终身学习推进激励机制研究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10. 终身教育学分银行建设研究</w:t>
      </w:r>
    </w:p>
    <w:p w:rsidR="00921147" w:rsidRPr="00867874" w:rsidRDefault="00921147" w:rsidP="00921147">
      <w:pPr>
        <w:spacing w:beforeLines="50"/>
        <w:ind w:firstLineChars="200" w:firstLine="560"/>
        <w:rPr>
          <w:rFonts w:ascii="黑体" w:eastAsia="黑体" w:hAnsi="黑体"/>
          <w:sz w:val="28"/>
          <w:szCs w:val="28"/>
        </w:rPr>
      </w:pPr>
      <w:r w:rsidRPr="00867874">
        <w:rPr>
          <w:rFonts w:ascii="黑体" w:eastAsia="黑体" w:hAnsi="黑体" w:hint="eastAsia"/>
          <w:sz w:val="28"/>
          <w:szCs w:val="28"/>
        </w:rPr>
        <w:t>三、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11. 终身教育思想研究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12. 终身教育范畴研究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13. 终身教育哲学研究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14. 终身教育价值研究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15. 终身教育规律研究</w:t>
      </w:r>
    </w:p>
    <w:p w:rsidR="00921147" w:rsidRPr="00867874" w:rsidRDefault="00921147" w:rsidP="00921147">
      <w:pPr>
        <w:spacing w:beforeLines="50"/>
        <w:ind w:firstLineChars="200" w:firstLine="560"/>
        <w:rPr>
          <w:rFonts w:ascii="黑体" w:eastAsia="黑体" w:hAnsi="黑体"/>
          <w:sz w:val="28"/>
          <w:szCs w:val="28"/>
        </w:rPr>
      </w:pPr>
      <w:r w:rsidRPr="00867874">
        <w:rPr>
          <w:rFonts w:ascii="黑体" w:eastAsia="黑体" w:hAnsi="黑体" w:hint="eastAsia"/>
          <w:sz w:val="28"/>
          <w:szCs w:val="28"/>
        </w:rPr>
        <w:lastRenderedPageBreak/>
        <w:t>四、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16. 终身教育战略研究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17. 终身教育政策研究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18. 终身教育规范研究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19. 终身教育法制研究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20. 终身教育队伍研究</w:t>
      </w:r>
    </w:p>
    <w:p w:rsidR="00921147" w:rsidRPr="00867874" w:rsidRDefault="00921147" w:rsidP="00921147">
      <w:pPr>
        <w:spacing w:beforeLines="50"/>
        <w:ind w:firstLineChars="200" w:firstLine="560"/>
        <w:rPr>
          <w:rFonts w:ascii="黑体" w:eastAsia="黑体" w:hAnsi="黑体"/>
          <w:sz w:val="28"/>
          <w:szCs w:val="28"/>
        </w:rPr>
      </w:pPr>
      <w:r w:rsidRPr="00867874">
        <w:rPr>
          <w:rFonts w:ascii="黑体" w:eastAsia="黑体" w:hAnsi="黑体" w:hint="eastAsia"/>
          <w:sz w:val="28"/>
          <w:szCs w:val="28"/>
        </w:rPr>
        <w:t>五、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21. 终身教育发展政府责任研究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22. 终身教育发展经费保障研究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23. 终身教育发展文化环境研究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24. 终身教育发展资源共享研究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25. 终身教育发展评估体系研究</w:t>
      </w:r>
    </w:p>
    <w:p w:rsidR="00921147" w:rsidRPr="00867874" w:rsidRDefault="00921147" w:rsidP="00921147">
      <w:pPr>
        <w:spacing w:beforeLines="50"/>
        <w:ind w:firstLineChars="200" w:firstLine="560"/>
        <w:rPr>
          <w:rFonts w:ascii="黑体" w:eastAsia="黑体" w:hAnsi="黑体"/>
          <w:sz w:val="28"/>
          <w:szCs w:val="28"/>
        </w:rPr>
      </w:pPr>
      <w:r w:rsidRPr="00867874">
        <w:rPr>
          <w:rFonts w:ascii="黑体" w:eastAsia="黑体" w:hAnsi="黑体" w:hint="eastAsia"/>
          <w:sz w:val="28"/>
          <w:szCs w:val="28"/>
        </w:rPr>
        <w:t>六、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26. 终身教育发展多元载体研究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27. 终身教育相对优势整合研究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28. 终身教育体制机制创新研究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29. 终身教育有效模式研究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30. 终身教育质量标准研究</w:t>
      </w:r>
    </w:p>
    <w:p w:rsidR="00921147" w:rsidRPr="00867874" w:rsidRDefault="00921147" w:rsidP="00921147">
      <w:pPr>
        <w:spacing w:beforeLines="50"/>
        <w:ind w:firstLineChars="200" w:firstLine="560"/>
        <w:rPr>
          <w:rFonts w:ascii="黑体" w:eastAsia="黑体" w:hAnsi="黑体"/>
          <w:sz w:val="28"/>
          <w:szCs w:val="28"/>
        </w:rPr>
      </w:pPr>
      <w:r w:rsidRPr="00867874">
        <w:rPr>
          <w:rFonts w:ascii="黑体" w:eastAsia="黑体" w:hAnsi="黑体" w:hint="eastAsia"/>
          <w:sz w:val="28"/>
          <w:szCs w:val="28"/>
        </w:rPr>
        <w:t>七、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31. 终身教育发展状态研究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32. 终身教育区域特色研究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lastRenderedPageBreak/>
        <w:t>33. 终身教育模式案例研究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34. 终身教育实践经验研究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35. 终身教育国际比较研究</w:t>
      </w:r>
    </w:p>
    <w:p w:rsidR="00921147" w:rsidRPr="00867874" w:rsidRDefault="00921147" w:rsidP="00921147">
      <w:pPr>
        <w:spacing w:beforeLines="50"/>
        <w:ind w:firstLineChars="200" w:firstLine="560"/>
        <w:rPr>
          <w:rFonts w:ascii="黑体" w:eastAsia="黑体" w:hAnsi="黑体"/>
          <w:sz w:val="28"/>
          <w:szCs w:val="28"/>
        </w:rPr>
      </w:pPr>
      <w:r w:rsidRPr="00867874">
        <w:rPr>
          <w:rFonts w:ascii="黑体" w:eastAsia="黑体" w:hAnsi="黑体" w:hint="eastAsia"/>
          <w:sz w:val="28"/>
          <w:szCs w:val="28"/>
        </w:rPr>
        <w:t>八、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36. 终身教育与基础教育关系研究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37. 终身教育与高等教育关系研究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38. 终身教育与职业教育关系研究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39. 终身教育与社会教育关系研究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40. 终身教育与成人教育关系研究</w:t>
      </w:r>
    </w:p>
    <w:p w:rsidR="00921147" w:rsidRPr="00867874" w:rsidRDefault="00921147" w:rsidP="00921147">
      <w:pPr>
        <w:spacing w:beforeLines="50"/>
        <w:ind w:firstLineChars="200" w:firstLine="560"/>
        <w:rPr>
          <w:rFonts w:ascii="黑体" w:eastAsia="黑体" w:hAnsi="黑体"/>
          <w:sz w:val="28"/>
          <w:szCs w:val="28"/>
        </w:rPr>
      </w:pPr>
      <w:r w:rsidRPr="00867874">
        <w:rPr>
          <w:rFonts w:ascii="黑体" w:eastAsia="黑体" w:hAnsi="黑体" w:hint="eastAsia"/>
          <w:sz w:val="28"/>
          <w:szCs w:val="28"/>
        </w:rPr>
        <w:t>九、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41. 终身教育体系内涵研究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42. 终身教育体系构建目标研究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43. 终身教育体系构建策略研究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44. 终身教育体系构建措施研究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45. 终身教育体系构建难题研究</w:t>
      </w:r>
    </w:p>
    <w:p w:rsidR="00921147" w:rsidRPr="00867874" w:rsidRDefault="00921147" w:rsidP="00921147">
      <w:pPr>
        <w:spacing w:beforeLines="50"/>
        <w:ind w:firstLineChars="200" w:firstLine="560"/>
        <w:rPr>
          <w:rFonts w:ascii="黑体" w:eastAsia="黑体" w:hAnsi="黑体"/>
          <w:sz w:val="28"/>
          <w:szCs w:val="28"/>
        </w:rPr>
      </w:pPr>
      <w:r w:rsidRPr="00867874">
        <w:rPr>
          <w:rFonts w:ascii="黑体" w:eastAsia="黑体" w:hAnsi="黑体" w:hint="eastAsia"/>
          <w:sz w:val="28"/>
          <w:szCs w:val="28"/>
        </w:rPr>
        <w:t>十、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46. 全民学习共享平台研究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47. 教育公共服务体系研究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48. 公共教育资源开发研究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49. 教育机会社会公平研究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50. 终身教育社会协同研究</w:t>
      </w:r>
    </w:p>
    <w:p w:rsidR="00921147" w:rsidRPr="00867874" w:rsidRDefault="00921147" w:rsidP="00921147">
      <w:pPr>
        <w:spacing w:beforeLines="50"/>
        <w:ind w:firstLineChars="200" w:firstLine="560"/>
        <w:rPr>
          <w:rFonts w:ascii="黑体" w:eastAsia="黑体" w:hAnsi="黑体"/>
          <w:sz w:val="28"/>
          <w:szCs w:val="28"/>
        </w:rPr>
      </w:pPr>
      <w:r w:rsidRPr="00867874">
        <w:rPr>
          <w:rFonts w:ascii="黑体" w:eastAsia="黑体" w:hAnsi="黑体" w:hint="eastAsia"/>
          <w:sz w:val="28"/>
          <w:szCs w:val="28"/>
        </w:rPr>
        <w:lastRenderedPageBreak/>
        <w:t>十一、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51. 老年人群学习现状研究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52. 老年人群学习特点研究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53. 老年人群学习支持研究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54. 老年教育发展模式研究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55. 老年教育发展与老龄社会建设研究</w:t>
      </w:r>
    </w:p>
    <w:p w:rsidR="00921147" w:rsidRPr="00867874" w:rsidRDefault="00921147" w:rsidP="00921147">
      <w:pPr>
        <w:spacing w:beforeLines="50"/>
        <w:ind w:firstLineChars="200" w:firstLine="560"/>
        <w:rPr>
          <w:rFonts w:ascii="黑体" w:eastAsia="黑体" w:hAnsi="黑体"/>
          <w:sz w:val="28"/>
          <w:szCs w:val="28"/>
        </w:rPr>
      </w:pPr>
      <w:r w:rsidRPr="00867874">
        <w:rPr>
          <w:rFonts w:ascii="黑体" w:eastAsia="黑体" w:hAnsi="黑体" w:hint="eastAsia"/>
          <w:sz w:val="28"/>
          <w:szCs w:val="28"/>
        </w:rPr>
        <w:t>十二、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56. 开放大学在终身教育发展中的功能研究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57. 开放大学在终身教育体系中的优势研究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58. 开放大学为全民学习服务的模式研究</w:t>
      </w:r>
    </w:p>
    <w:p w:rsidR="00921147" w:rsidRPr="00867874" w:rsidRDefault="00921147" w:rsidP="009211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874">
        <w:rPr>
          <w:rFonts w:ascii="仿宋" w:eastAsia="仿宋" w:hAnsi="仿宋" w:hint="eastAsia"/>
          <w:sz w:val="28"/>
          <w:szCs w:val="28"/>
        </w:rPr>
        <w:t>59. 开放大学促进人的全面终身发展能力研究</w:t>
      </w:r>
    </w:p>
    <w:p w:rsidR="00921147" w:rsidRPr="00683649" w:rsidRDefault="00921147" w:rsidP="00921147">
      <w:pPr>
        <w:ind w:firstLineChars="200" w:firstLine="560"/>
        <w:rPr>
          <w:rFonts w:ascii="仿宋" w:eastAsia="仿宋" w:hAnsi="仿宋"/>
          <w:sz w:val="30"/>
          <w:szCs w:val="30"/>
        </w:rPr>
      </w:pPr>
      <w:r w:rsidRPr="00867874">
        <w:rPr>
          <w:rFonts w:ascii="仿宋" w:eastAsia="仿宋" w:hAnsi="仿宋" w:hint="eastAsia"/>
          <w:sz w:val="28"/>
          <w:szCs w:val="28"/>
        </w:rPr>
        <w:t>60. 开放大学建设问题与对策研究</w:t>
      </w:r>
    </w:p>
    <w:p w:rsidR="00921147" w:rsidRDefault="00921147" w:rsidP="00921147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1512E" w:rsidRDefault="00B1512E"/>
    <w:sectPr w:rsidR="00B1512E" w:rsidSect="00C02240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64793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9E7C11" w:rsidRPr="009E7C11" w:rsidRDefault="00921147" w:rsidP="009E7C11">
        <w:pPr>
          <w:pStyle w:val="a3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9E7C11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9E7C11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9E7C11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921147">
          <w:rPr>
            <w:rFonts w:ascii="Times New Roman" w:hAnsi="Times New Roman" w:cs="Times New Roman"/>
            <w:noProof/>
            <w:sz w:val="21"/>
            <w:szCs w:val="21"/>
            <w:lang w:val="zh-CN"/>
          </w:rPr>
          <w:t>4</w:t>
        </w:r>
        <w:r w:rsidRPr="009E7C11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1147"/>
    <w:rsid w:val="00921147"/>
    <w:rsid w:val="00B1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21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211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2017-04-07T00:40:00Z</dcterms:created>
  <dcterms:modified xsi:type="dcterms:W3CDTF">2017-04-07T00:41:00Z</dcterms:modified>
</cp:coreProperties>
</file>